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75AC9EED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2CF0A559" w14:textId="77777777" w:rsidR="00671FAB" w:rsidRPr="003C3D14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270408E5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60D6108E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C517D" wp14:editId="0C0EDAE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D8E92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0F460FD9" w14:textId="0B89984E" w:rsidR="00671FAB" w:rsidRPr="003C3D14" w:rsidRDefault="00671FAB" w:rsidP="0006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066ADF">
              <w:rPr>
                <w:rFonts w:ascii="Times New Roman" w:hAnsi="Times New Roman"/>
                <w:sz w:val="28"/>
                <w:szCs w:val="28"/>
              </w:rPr>
              <w:t>384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0DDABFC4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BFB8411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B064D0E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106D2" wp14:editId="299F688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9556F9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5BC6D37F" w14:textId="36250E32" w:rsidR="00671FAB" w:rsidRPr="004C3872" w:rsidRDefault="00671FAB" w:rsidP="007473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Châu Phú, ngày </w:t>
            </w:r>
            <w:r w:rsidR="00A07A64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357DA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</w:t>
            </w:r>
            <w:r w:rsidR="00A07A6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4C387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7A59EA99" w14:textId="77777777" w:rsidR="00E85776" w:rsidRPr="00E85776" w:rsidRDefault="00E85776" w:rsidP="00C472B1">
      <w:pPr>
        <w:pStyle w:val="Heading3"/>
        <w:spacing w:before="3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6689DD33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51F7E3D7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9CC65" wp14:editId="52A33839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C5903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DEC81AE" w14:textId="77777777" w:rsidR="00E85776" w:rsidRPr="00E85776" w:rsidRDefault="00E85776" w:rsidP="00C472B1">
      <w:pPr>
        <w:spacing w:before="24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6537AA21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5A58EC2E" w14:textId="77777777" w:rsidR="00A07A64" w:rsidRPr="003E6769" w:rsidRDefault="00A07A64" w:rsidP="00A07A64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20698438" w14:textId="77777777" w:rsidR="00A07A64" w:rsidRPr="003E6769" w:rsidRDefault="00A07A64" w:rsidP="00A07A64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0B021437" w14:textId="77777777" w:rsidR="00A07A64" w:rsidRPr="003E6769" w:rsidRDefault="00A07A64" w:rsidP="00A07A64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69CE3A79" w14:textId="77777777" w:rsidR="00A07A64" w:rsidRPr="003E6769" w:rsidRDefault="00A07A64" w:rsidP="00A07A64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27A63283" w14:textId="21BD3567" w:rsidR="00A07A64" w:rsidRPr="003E6769" w:rsidRDefault="00A07A64" w:rsidP="00A07A64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9425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27/02/2024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2DEC9D6A" w14:textId="77777777" w:rsidR="00A07A64" w:rsidRPr="003E6769" w:rsidRDefault="00A07A64" w:rsidP="00A07A64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695FAC78" w14:textId="4DFB020D" w:rsidR="00A07A64" w:rsidRPr="003E6769" w:rsidRDefault="00A07A64" w:rsidP="00A07A64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149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28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7CCC1776" w14:textId="77777777" w:rsidR="00E85776" w:rsidRPr="00E7119B" w:rsidRDefault="00E85776" w:rsidP="00C472B1">
      <w:pPr>
        <w:pStyle w:val="Heading4"/>
        <w:spacing w:before="240" w:after="36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3CACF850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52BEE503" w14:textId="332C6E17" w:rsidR="004C3872" w:rsidRPr="00E7119B" w:rsidRDefault="004C3872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Giới tính: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A07A64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006476AA" w14:textId="17DE6E9C" w:rsidR="004C3872" w:rsidRPr="00E7119B" w:rsidRDefault="00A07A64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Năm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sinh</w:t>
      </w:r>
      <w:r w:rsidR="004C3872"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357DA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1973</w:t>
      </w:r>
      <w:r w:rsidR="003B708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292911AE" w14:textId="77777777" w:rsidR="00566323" w:rsidRPr="003D4784" w:rsidRDefault="004C3872" w:rsidP="004C3872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 xml:space="preserve">ấp </w:t>
      </w:r>
      <w:r w:rsidR="00357DAA">
        <w:rPr>
          <w:rFonts w:ascii="Times New Roman" w:hAnsi="Times New Roman"/>
          <w:sz w:val="28"/>
          <w:szCs w:val="28"/>
          <w:lang w:val="vi-VN"/>
        </w:rPr>
        <w:t>Bình Tân</w:t>
      </w:r>
      <w:r w:rsidR="00250B54">
        <w:rPr>
          <w:rFonts w:ascii="Times New Roman" w:hAnsi="Times New Roman"/>
          <w:sz w:val="28"/>
          <w:szCs w:val="28"/>
          <w:lang w:val="vi-VN"/>
        </w:rPr>
        <w:t xml:space="preserve">, xã </w:t>
      </w:r>
      <w:r w:rsidR="00357DAA">
        <w:rPr>
          <w:rFonts w:ascii="Times New Roman" w:hAnsi="Times New Roman"/>
          <w:sz w:val="28"/>
          <w:szCs w:val="28"/>
          <w:lang w:val="vi-VN"/>
        </w:rPr>
        <w:t>Bình Mỹ</w:t>
      </w:r>
      <w:r w:rsidR="00843007">
        <w:rPr>
          <w:rFonts w:ascii="Times New Roman" w:hAnsi="Times New Roman"/>
          <w:sz w:val="28"/>
          <w:szCs w:val="28"/>
          <w:lang w:val="vi-VN"/>
        </w:rPr>
        <w:t xml:space="preserve">, huyên </w:t>
      </w:r>
      <w:r w:rsidR="00357DAA">
        <w:rPr>
          <w:rFonts w:ascii="Times New Roman" w:hAnsi="Times New Roman"/>
          <w:sz w:val="28"/>
          <w:szCs w:val="28"/>
          <w:lang w:val="vi-VN"/>
        </w:rPr>
        <w:t>Châu Phú</w:t>
      </w:r>
      <w:r w:rsidRPr="003D3EBE">
        <w:rPr>
          <w:rFonts w:ascii="Times New Roman" w:hAnsi="Times New Roman"/>
          <w:sz w:val="28"/>
          <w:szCs w:val="28"/>
          <w:lang w:val="vi-VN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2798035A" w14:textId="145F9E42" w:rsidR="00E85776" w:rsidRPr="00A07A64" w:rsidRDefault="00E85776" w:rsidP="00566323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07A6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A07A6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357DAA" w:rsidRPr="00A07A64">
        <w:rPr>
          <w:rFonts w:ascii="Times New Roman" w:hAnsi="Times New Roman"/>
          <w:sz w:val="28"/>
          <w:szCs w:val="28"/>
          <w:lang w:val="vi-VN"/>
        </w:rPr>
        <w:t>67C-071.95</w:t>
      </w:r>
      <w:r w:rsidR="00566323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42FC2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742FC2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250B54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="002B1B73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3B7089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>24</w:t>
      </w:r>
      <w:r w:rsidR="009436B8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A07A6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A07A6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A07A64" w:rsidRPr="00A07A6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của Chính phủ được </w:t>
      </w:r>
      <w:r w:rsidR="00A21684" w:rsidRPr="00A07A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A07A6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A07A64" w:rsidRPr="00A07A6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A07A6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Nghị định số 123/2021/NĐ-CP ngày 28/12/2021 của Chính phủ</w:t>
      </w:r>
      <w:r w:rsidR="00A21684" w:rsidRPr="00A07A6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0DC54BF8" w14:textId="469B83EB" w:rsidR="00E85776" w:rsidRPr="003D4784" w:rsidRDefault="008C3BDF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3B7089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250B54">
        <w:rPr>
          <w:rFonts w:ascii="Times New Roman" w:hAnsi="Times New Roman" w:cs="Times New Roman"/>
          <w:color w:val="000000" w:themeColor="text1"/>
          <w:lang w:val="vi-VN"/>
        </w:rPr>
        <w:t>10</w:t>
      </w:r>
      <w:r w:rsidR="00566323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9436B8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3D4784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A07A64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Nghị định số 123/2021/NĐ-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lastRenderedPageBreak/>
        <w:t>CP ngày 28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2021 của Chính phủ sửa đổi, bổ sung một số điều của các Nghị định quy định xử phạt vi phạm hành chính trong lĩnh vực hàng hải; giao thông đường bộ, đường sắt; hàng không dân dụng.</w:t>
      </w:r>
    </w:p>
    <w:p w14:paraId="65002C61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52B3636C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46FA0C70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01BBF53D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250B5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15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.000.000 đồng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74735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Mười </w:t>
      </w:r>
      <w:r w:rsidR="00250B5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lăm</w:t>
      </w:r>
      <w:r w:rsidR="009436B8"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triệu đồng).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22BBE2C1" w14:textId="77777777" w:rsidR="00CF1E80" w:rsidRPr="003D4784" w:rsidRDefault="00F325C0" w:rsidP="00CF1E8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3D478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3D478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1CF6C56F" w14:textId="77777777" w:rsidR="00E85776" w:rsidRPr="003D4784" w:rsidRDefault="00E85776" w:rsidP="00CF1E80">
      <w:pPr>
        <w:pStyle w:val="BodyText2"/>
        <w:spacing w:before="120" w:after="120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D4784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4200EA19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38219274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7AFC5004" w14:textId="77777777" w:rsidR="00E85776" w:rsidRPr="00D83F85" w:rsidRDefault="00E85776" w:rsidP="00ED79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="00357DA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1E34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cá nhân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3C96AE87" w14:textId="77777777" w:rsidR="00E85776" w:rsidRPr="00E7119B" w:rsidRDefault="00250B54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="00357DAA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</w:t>
      </w:r>
      <w:r w:rsidR="00843007" w:rsidRPr="007473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="00357DAA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7BB23B4B" w14:textId="77777777" w:rsidR="00E85776" w:rsidRPr="00E7119B" w:rsidRDefault="00E85776" w:rsidP="00B16C6F">
      <w:pPr>
        <w:autoSpaceDE/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250B54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="00357DAA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7F99ACAB" w14:textId="77777777" w:rsidR="00E85776" w:rsidRDefault="00E85776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250B54">
        <w:rPr>
          <w:rFonts w:ascii="Times New Roman" w:hAnsi="Times New Roman"/>
          <w:color w:val="000000" w:themeColor="text1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lang w:val="vi-VN"/>
        </w:rPr>
        <w:t xml:space="preserve"> </w:t>
      </w:r>
      <w:r w:rsidR="00357DAA">
        <w:rPr>
          <w:rFonts w:ascii="Times New Roman" w:hAnsi="Times New Roman"/>
          <w:lang w:val="vi-VN"/>
        </w:rPr>
        <w:t>Ngô Hồng Diễm</w:t>
      </w:r>
      <w:r w:rsidR="00357DAA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45822936" w14:textId="77777777" w:rsidR="004117B5" w:rsidRPr="004117B5" w:rsidRDefault="000B7EAA" w:rsidP="004117B5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250B54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357DAA">
        <w:rPr>
          <w:rFonts w:ascii="Times New Roman" w:hAnsi="Times New Roman"/>
          <w:sz w:val="28"/>
          <w:szCs w:val="28"/>
          <w:lang w:val="vi-VN"/>
        </w:rPr>
        <w:t>Ngô Hồng Diễm</w:t>
      </w:r>
      <w:r w:rsidR="00357DAA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01 (một) giấy </w:t>
      </w:r>
      <w:r w:rsidR="00357DAA">
        <w:rPr>
          <w:rFonts w:ascii="Times New Roman" w:hAnsi="Times New Roman"/>
          <w:sz w:val="28"/>
          <w:szCs w:val="28"/>
          <w:lang w:val="vi-VN"/>
        </w:rPr>
        <w:t>chứng nhận đăng ký số 012171</w:t>
      </w:r>
      <w:r w:rsidR="00AA73C1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, </w:t>
      </w:r>
      <w:r w:rsidR="004117B5" w:rsidRPr="00566323">
        <w:rPr>
          <w:rFonts w:ascii="Times New Roman" w:hAnsi="Times New Roman"/>
          <w:color w:val="000000"/>
          <w:spacing w:val="-2"/>
          <w:sz w:val="28"/>
          <w:szCs w:val="28"/>
        </w:rPr>
        <w:t xml:space="preserve">để 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</w:rPr>
        <w:t>đảm bảo thi hành Quyết định xử phạt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.</w:t>
      </w:r>
    </w:p>
    <w:p w14:paraId="2D73D7A8" w14:textId="77777777" w:rsidR="00E85776" w:rsidRPr="00E7119B" w:rsidRDefault="00E85776" w:rsidP="004117B5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5025161B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725C3551" w14:textId="77777777" w:rsidTr="003F13AC">
        <w:trPr>
          <w:trHeight w:val="80"/>
        </w:trPr>
        <w:tc>
          <w:tcPr>
            <w:tcW w:w="4645" w:type="dxa"/>
          </w:tcPr>
          <w:p w14:paraId="39CDEDFD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2C2FD722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425CED1F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020199D4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12770C25" w14:textId="68ADE658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A07A6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7C19AEC6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0052CFC7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03F9C3DD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1FDB9C1A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470056BD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730C7AA5" w14:textId="38A492E5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1CA43BA0" w14:textId="63903A32" w:rsidR="00066ADF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2F157E89" w14:textId="66A41699" w:rsidR="00066ADF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003DAB3" w14:textId="6EE9ED2D" w:rsidR="00066ADF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F3CC39F" w14:textId="7929705E" w:rsidR="00066ADF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5C8BC89" w14:textId="40F5AD4F" w:rsidR="00066ADF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4FE3ED6" w14:textId="77777777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0008BE" w14:textId="51B53A40" w:rsidR="00066ADF" w:rsidRPr="00E85776" w:rsidRDefault="00066AD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Phước Nên</w:t>
            </w:r>
            <w:bookmarkStart w:id="1" w:name="_GoBack"/>
            <w:bookmarkEnd w:id="1"/>
          </w:p>
        </w:tc>
      </w:tr>
    </w:tbl>
    <w:p w14:paraId="56764B87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E27D10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54382"/>
    <w:rsid w:val="00054774"/>
    <w:rsid w:val="00066ADF"/>
    <w:rsid w:val="000758D0"/>
    <w:rsid w:val="00080BEF"/>
    <w:rsid w:val="000964D0"/>
    <w:rsid w:val="000A46BF"/>
    <w:rsid w:val="000B1232"/>
    <w:rsid w:val="000B7EAA"/>
    <w:rsid w:val="001725E7"/>
    <w:rsid w:val="00177E1B"/>
    <w:rsid w:val="001C3EB2"/>
    <w:rsid w:val="001E34BC"/>
    <w:rsid w:val="00232466"/>
    <w:rsid w:val="00236153"/>
    <w:rsid w:val="00250B54"/>
    <w:rsid w:val="002B1B73"/>
    <w:rsid w:val="002B488F"/>
    <w:rsid w:val="002B568D"/>
    <w:rsid w:val="002D3668"/>
    <w:rsid w:val="002E3987"/>
    <w:rsid w:val="00344A26"/>
    <w:rsid w:val="00345D00"/>
    <w:rsid w:val="00357DAA"/>
    <w:rsid w:val="003B7089"/>
    <w:rsid w:val="003D4784"/>
    <w:rsid w:val="003D6237"/>
    <w:rsid w:val="003E510A"/>
    <w:rsid w:val="003F13AC"/>
    <w:rsid w:val="003F2765"/>
    <w:rsid w:val="004117B5"/>
    <w:rsid w:val="004375CA"/>
    <w:rsid w:val="004B7C4B"/>
    <w:rsid w:val="004C3872"/>
    <w:rsid w:val="004F3316"/>
    <w:rsid w:val="00566323"/>
    <w:rsid w:val="00634F14"/>
    <w:rsid w:val="00671FAB"/>
    <w:rsid w:val="00701285"/>
    <w:rsid w:val="00742FC2"/>
    <w:rsid w:val="00747354"/>
    <w:rsid w:val="007D3315"/>
    <w:rsid w:val="007E0C55"/>
    <w:rsid w:val="007F7FBC"/>
    <w:rsid w:val="00825BD6"/>
    <w:rsid w:val="00834E53"/>
    <w:rsid w:val="00843007"/>
    <w:rsid w:val="008A2157"/>
    <w:rsid w:val="008C3BDF"/>
    <w:rsid w:val="008D5058"/>
    <w:rsid w:val="008F630B"/>
    <w:rsid w:val="009436B8"/>
    <w:rsid w:val="009703CD"/>
    <w:rsid w:val="009920E8"/>
    <w:rsid w:val="009B30EB"/>
    <w:rsid w:val="009E4D2F"/>
    <w:rsid w:val="00A00E6D"/>
    <w:rsid w:val="00A01FD8"/>
    <w:rsid w:val="00A07A64"/>
    <w:rsid w:val="00A21684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472B1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27D10"/>
    <w:rsid w:val="00E45C10"/>
    <w:rsid w:val="00E65982"/>
    <w:rsid w:val="00E7119B"/>
    <w:rsid w:val="00E85776"/>
    <w:rsid w:val="00EB5005"/>
    <w:rsid w:val="00EC6D31"/>
    <w:rsid w:val="00ED7928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9B77C06"/>
  <w15:docId w15:val="{4AF792DA-58B6-417A-9BBA-9DDF586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4</cp:revision>
  <cp:lastPrinted>2023-12-06T01:58:00Z</cp:lastPrinted>
  <dcterms:created xsi:type="dcterms:W3CDTF">2024-02-29T08:34:00Z</dcterms:created>
  <dcterms:modified xsi:type="dcterms:W3CDTF">2024-03-01T08:21:00Z</dcterms:modified>
</cp:coreProperties>
</file>